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56</w:t>
      </w:r>
    </w:p>
    <w:p>
      <w:r>
        <w:t>Bundesgericht (BGE), 2016-02-04, DE</w:t>
      </w:r>
    </w:p>
    <w:p>
      <w:r>
        <w:rPr>
          <w:b/>
        </w:rPr>
        <w:t xml:space="preserve">Quelle: </w:t>
      </w:r>
      <w:r>
        <w:t>https://mcp.opencaselaw.ch/entscheid/bge_142 IV 56</w:t>
      </w:r>
    </w:p>
    <w:p>
      <w:r>
        <w:t>FR: ATF 142 IV 56</w:t>
      </w:r>
    </w:p>
    <w:p>
      <w:r>
        <w:t>IT: DTF 142 IV 56</w:t>
      </w:r>
    </w:p>
    <w:p>
      <w:pPr>
        <w:pStyle w:val="Heading2"/>
      </w:pPr>
      <w:r>
        <w:t>Regeste</w:t>
      </w:r>
    </w:p>
    <w:p>
      <w:r>
        <w:t>Regeste Lebenslängliche Freiheitsstrafe, Verwahrung (Art. 64 Abs. 1 StGB); Verhältnis. Die Verwahrung im Sinne von Art. 64 Abs. 1 StGB ist auch bei Ausfällung einer lebenslänglichen Freiheitsstrafe anzuordnen, wenn die in dieser Bestimmung genannten Voraussetzungen erfüllt sind (E. 2).</w:t>
      </w:r>
    </w:p>
    <w:p>
      <w:pPr>
        <w:pStyle w:val="Heading2"/>
      </w:pPr>
      <w:r>
        <w:t>Erwägungen</w:t>
      </w:r>
    </w:p>
    <w:p>
      <w:r>
        <w:rPr>
          <w:b/>
        </w:rPr>
        <w:t>E. 2.1</w:t>
      </w:r>
    </w:p>
    <w:p>
      <w:r>
        <w:t>Der Beschwerdeführer macht geltend, Voraussetzung für die Anordnung einer Massnahme im Sinne von Art. 56 ff. StGB und damit auch der Verwahrung gemäss Art. 64 Abs. 1 StGB sei nach Art. 56 Abs. 1 lit. a und b StGB , dass die Strafe allein nicht geeignet sei, der Gefahr weiterer Straftaten zu begegnen, und dass die Massnahme zur Gewährleistung der öffentlichen Sicherheit erforderlich sei. An diesen Voraussetzungen fehle es vorliegend, weil er zu einer lebenslänglichen Freiheitsstrafe verurteilt worden sei. Seine bedingte Entlassung sei gemäss Art. 86 Abs. 1 StGB erst dann möglich, wenn nicht angenommen werden müsse, dass er weitere Verbrechen oder Vergehen begehe. Mithin könne er erst dann aus der lebenslänglichen Freiheitsstrafe bedingt entlassen werden, wenn keine Rückfallgefahr mehr bestehe. Die lebenslängliche Freiheitsstrafe genüge somit, um dem Sicherheitsbedürfnis der Öffentlichkeit Rechnung zu tragen. Daher erweise sich die Anordnung der Verwahrung bei lebenslänglicher Freiheitsstrafe als nicht notwendig.</w:t>
      </w:r>
    </w:p>
    <w:p>
      <w:r>
        <w:rPr>
          <w:b/>
        </w:rPr>
        <w:t>E. 2.2</w:t>
      </w:r>
    </w:p>
    <w:p>
      <w:r>
        <w:t>Schon die erste Instanz hatte den Beschwerdeführer zu einer lebenslänglichen Freiheitsstrafe verurteilt und eine Verwahrung im Sinne von Art. 64 Abs. 1 lit. a StGB angeordnet. Der Beschwerdeführer beantragte mit Berufung, die Verwahrung sei aufzuheben. Die Vorinstanz erwägt, die Voraussetzungen für die Anordnung einer Verwahrung gemäss Art. 64 Abs. 1 lit. a StGB seien erfüllt. Sie prüft den BGE 142 IV 56 S. 58 möglichen Einwand, dass eine bedingte Entlassung aus einer lebenslänglichen Freiheitsstrafe nur erfolgen könne, wenn der Täter nicht mehr gefährlich sei, woraus sich ergebe, dass bei Ausfällung einer lebenslänglichen Freiheitsstrafe die Anordnung einer Verwahrung überflüssig sei. Die Vorinstanz verwirft diesen Einwand. Ihres Erachtens sind die Anforderungen an eine bedingte Entlassung bei Ausfällung allein einer lebenslänglichen Freiheitsstrafe zumindest in formaler Hinsicht geringer als bei Ausfällung einer lebenslänglichen Freiheitsstrafe und gleichzeitiger Anordnung einer Verwahrung nach Art. 64 Abs.1 StGB . Im letztgenannten Fall gehe nämlich der Vollzug der Freiheitsstrafe der Verwahrung voraus und seien gemäss Art. 64 Abs. 2 StGB die Bestimmungen über die bedingte Entlassung aus der Freiheitsstrafe ( Art. 86-88 StGB ) nicht anwendbar. Zwar sei auch in diesem Fall gestützt auf Art. 64 Abs. 3 StGB bei nicht mehr vorhandener Gefährlichkeit des Täters eine bedingte Entlassung aus dem Strafvollzug und damit gleichzeitig ein Aufschub der Verwahrung möglich. Doch sei für diesen Entscheid gemäss Art. 64 Abs. 3 Satz 2 StGB das Gericht zuständig, welches die Verwahrung angeordnet habe, und entscheide das Gericht unter anderem gestützt auf ein Gutachten eines unabhängigen Sachverständigen sowie nach Anhörung einer interdisziplinären Fachkommission ( Art. 64b Abs. 2 lit. b und c StGB ). Demgegenüber entscheide über die bedingte Entlassung allein aus einer Freiheitsstrafe die zuständige Behörde; dies sei nach den massgebenden Bestimmungen des Kantons Glarus eine Abteilung der Verwaltungspolizei. Zudem entscheide die Behörde ohne Einholung von Gutachten etc. Abschliessend erwägt die Vorinstanz, im Übrigen werde in der Lehre auch die Auffassung vertreten, dass die Anforderungen an eine günstige Legalprognose bei einer bedingten Entlassung aus einer Freiheitsstrafe und Verwahrung gemäss Art. 64 Abs. 3 StGB strenger seien als bei einer bedingten Entlassung gemäss Art. 86 Abs. 1 StGB aus einer Freiheitsstrafe allein, indem im erstgenannten Fall eine hohe Wahrscheinlichkeit der Bewährung verlangt werde.</w:t>
      </w:r>
    </w:p>
    <w:p>
      <w:r>
        <w:rPr>
          <w:b/>
        </w:rPr>
        <w:t>E. 2.3.1</w:t>
      </w:r>
    </w:p>
    <w:p>
      <w:r>
        <w:t>Gemäss Art. 56 Abs. 1 StGB ist eine Massnahme anzuordnen, wenn (a.) eine Strafe allein nicht geeignet ist, der Gefahr weiterer Straftaten des Täters zu begegnen; (b.) ein Behandlungsbedürfnis des Täters besteht oder die öffentliche Sicherheit dies erfordert; und (c.) die Voraussetzungen der Artikel 59-61, 63 oder 64 erfüllt sind. Hat der Täter eine unter Art. 64 Abs. 1 StGB fallende Straftat verübt, so BGE 142 IV 56 S. 59 ordnet das Gericht gemäss Art. 64 Abs. 1 lit. a StGB die Verwahrung an, wenn auf Grund der Persönlichkeitsmerkmale des Täters, der Tatumstände und seiner gesamten Lebensumstände ernsthaft zu erwarten ist, dass er weitere Taten dieser Art begeht. Sind die Voraussetzungen sowohl für eine Strafe wie für eine Massnahme erfüllt, so ordnet das Gericht gemäss Art. 57 Abs. 1 StGB beide Sanktionen an. Der Vollzug der Freiheitsstrafe geht der Verwahrung voraus ( Art. 64 Abs. 2 Satz 1 StGB ). Die bedingte Entlassung aus dem Vollzug einer Freiheitsstrafe ist in Art. 86 ff. StGB geregelt. Diese Bestimmungen sind jedoch nicht anwendbar, wenn neben der Freiheitsstrafe eine Verwahrung angeordnet wurde ( Art. 64 Abs. 2 Satz 2 StGB ). Auch in diesem Fall ist aber eine bedingte Entlassung aus dem Vollzug der Freiheitsstrafe möglich, welcher der Verwahrung vorausgeht. Diese bedingte Entlassung ist in Art. 64 Abs. 3 StGB geregelt. Ist schon während des Vollzugs der Freiheitsstrafe zu erwarten, dass der Täter sich in Freiheit bewährt, so verfügt das Gericht die bedingte Entlassung aus der Freiheitsstrafe frühestens auf den Zeitpunkt hin, an welchem der Täter zwei Drittel der Freiheitsstrafe oder 15 Jahre der lebenslänglichen Freiheitsstrafe verbüsst hat. Zuständig ist das Gericht, das die Verwahrung angeordnet hat. Im Übrigen ist Artikel 64a anwendbar. Gemäss Art. 64a Abs. 1 StGB wird der Täter aus der Verwahrung nach Artikel 64 Absatz 1 bedingt entlassen, sobald zu erwarten ist, dass er sich in der Freiheit bewährt. Die Probezeit beträgt zwei bis fünf Jahre. Für die Dauer der Probezeit kann Bewährungshilfe angeordnet und können Weisungen erteilt werden. Hat sich der bedingt Entlassene bis zum Ablauf der Probezeit bewährt, so ist er gemäss Art. 64a Abs. 5 StGB endgültig entlassen. Während sich die bedingte Entlassung aus dem Vollzug der Freiheitsstrafe bei gleichzeitig angeordneter Verwahrung nach Art. 64 Abs. 3 und Art. 64a StGB bestimmt, richtet sich die bedingte Entlassung aus der Freiheitsstrafe ohne gleichzeitig angeordnete Verwahrung nach Art. 86 ff. StGB . Hat der Gefangene zwei Drittel seiner Strafe, mindestens aber drei Monate verbüsst, so ist er durch die zuständige Behörde bedingt zu entlassen, wenn es sein Verhalten im Strafvollzug rechtfertigt und nicht anzunehmen ist, er werde weitere Verbrechen oder Vergehen begehen ( Art. 86 Abs. 1 StGB ). Hat der Gefangene die Hälfte seiner Strafe, mindestens aber drei Monate verbüsst, so kann er ausnahmsweise bedingt entlassen werden, wenn ausserordentliche, in der Person des Gefangenen liegende Umstände BGE 142 IV 56 S. 60 dies rechtfertigen ( Art. 86 Abs. 4 StGB ). Bei einer lebenslangen Freiheitsstrafe ist die bedingte Entlassung nach Absatz 1 frühestens nach 15, nach Absatz 4 frühestens nach 10 Jahren möglich ( Art. 86 Abs. 5 StGB ). Dem bedingt Entlassenen wird eine Probezeit auferlegt, deren Dauer dem Strafrest entspricht. Sie beträgt jedoch mindestens ein Jahr und höchstens fünf Jahre ( Art. 87 Abs. 1 StGB ). Die Vollzugsbehörde ordnet in der Regel für die Dauer der Probezeit Bewährungshilfe an. Sie kann dem bedingt Entlassenen Weisungen erteilen ( Art. 87 Abs. 2 StGB ). Hat sich der bedingt Entlassene bis zum Ablauf der Probezeit bewährt, so ist er endgültig entlassen ( Art. 88 StGB ).</w:t>
      </w:r>
    </w:p>
    <w:p>
      <w:r>
        <w:rPr>
          <w:b/>
        </w:rPr>
        <w:t>E. 2.3.2</w:t>
      </w:r>
    </w:p>
    <w:p>
      <w:r>
        <w:t>Der im Jahr 2002 verabschiedete bundesrätliche Entwurf von 1998 betreffend einen neuen Allgemeinen Teil des Strafgesetzbuches enthielt noch keine Bestimmung über die bedingte Entlassung aus dem Vollzug der Freiheitsstrafe bei gleichzeitig angeordneter Verwahrung. Er sah auch nicht vor, dass die Bestimmungen über die bedingte Entlassung aus der Freiheitsstrafe (Art. 86-88) bei einem der Verwahrung vorausgehenden Strafvollzug nicht anwendbar sind. Die entsprechenden Bestimmungen des Gesetzes ( Art. 64 Abs. 2 Satz 2 und Abs. 3 StGB ) gehen zurück auf den Vorentwurf der Arbeitsgruppe "Verwahrung" vom 15. Juli 2004 (Art. 64 Abs. 2 Satz 2 VE, Art. 64a Abs. 6 VE). Die Arbeitsgruppe war überwiegend der Meinung, dass eine vorzeitige Entlassung der zu einer Verwahrung verurteilten Person aus dem der Verwahrung vorausgehenden Strafvollzug möglich sein, diese vorzeitige Entlassung sich aber nicht nach den Regeln über die bedingte Entlassung aus dem Strafvollzug gemäss Art. 86 ff. StGB richten sollte (Bericht der Arbeitsgruppe "Verwahrung", S. 34; Botschaft vom 29. Juni 2005 zur Änderung des Strafgesetzbuches in der Fassung vom 13. Dezember 2002 und des Millitärstrafgesetzes in der Fassung vom 21. März 2003, BBl 2005 4689 ff., 4712 Ziff. 2.2.2).</w:t>
      </w:r>
    </w:p>
    <w:p>
      <w:r>
        <w:rPr>
          <w:b/>
        </w:rPr>
        <w:t>E. 2.4</w:t>
      </w:r>
    </w:p>
    <w:p>
      <w:r>
        <w:t>Zwischen der bedingten Entlassung aus dem Vollzug einer Freiheitsstrafe bei gleichzeitig angeordneter Verwahrung einerseits und der bedingten Entlassung aus dem Vollzug der Freiheitsstrafe ohne gleichzeitig angeordnete Verwahrung andererseits bestehen diverse Unterschiede. Für Erstere ist das Gericht zuständig, das die Verwahrung angeordnet hat ( Art. 64 Abs. 3 Satz 2 StGB ); für Letztere ist die "zuständige Behörde" kompetent ( Art. 86 Abs. 1 StGB ). Die bedingte Entlassung aus der Ersteren wird angeordnet, wenn "zu erwarten (ist), dass der Täter sich in Freiheit bewährt" ( Art. 64 Abs. 3 Satz 1 StGB ). BGE 142 IV 56 S. 61 Die bedingte Entlassung des Täters aus der Letzteren setzt voraus, dass "nicht anzunehmen ist, er werde weitere Verbrechen oder Vergehen begehen" ( Art. 86 Abs. 1 StGB ). Eine bedingte Entlassung ausnahmsweise bereits nach Verbüssung der Hälfte der Strafe beziehungsweise bei lebenslanger Freiheitsstrafe nach 10 Jahren ( Art. 86 Abs. 4 und 5 StGB ) ist aus einem der Verwahrung vorausgehenden Strafvollzug nicht möglich. Bei der bedingten Entlassung aus dem einer Verwahrung vorausgehenden Strafvollzug beträgt die Probezeit zwei bis fünf Jahre (Art. 64 Abs. 3 Satz 3 in Verbindung mit Art. 64a Abs. 1 Satz 2 StGB ). Bei der bedingten Entlassung aus dem Strafvollzug ohne gleichzeitig angeordnete Verwahrung beträgt die Probezeit mindestens ein Jahr und höchstens fünf Jahre ( Art. 87 Abs. 1 StGB ). In beiden Fällen können für die Dauer der Probezeit Bewährungshilfe angeordnet und Weisungen erteilt werden (Art. 64 Abs. 3 Satz 3 in Verbindung mit Art. 64a Abs. 1 Satz 3 StGB ; Art. 87 Abs. 2 StGB ). Erscheint bei Ablauf der Probezeit eine Fortführung der Bewährungshilfe oder der Weisungen als notwendig, um der Gefahr weiterer Straftaten im Sinne von Artikel 64 Absatz 1 zu begegnen, so kann bei der bedingten Entlassung aus dem einer Verwahrung vorausgehenden Strafvollzug das Gericht auf Antrag der Vollzugsbehörde die Probezeit jeweils um weitere zwei bis fünf Jahre verlängern (Art. 64 Abs. 3 Satz 3 in Verbindung mit Art. 64a Abs. 2 StGB ). Erfolgte die bedingte Entlassung aus einer ohne Anordnung einer Verwahrung ausgefällten Freiheitsstrafe, die wegen einer Straftat nach Artikel 64 Absatz 1 verhängt worden war, und erscheinen bei Ablauf der Probezeit die Bewährungshilfe oder Weisungen weiterhin notwendig, um der Gefahr weiterer Straftaten dieser Art zu begegnen, so kann das Gericht auf Antrag der Vollzugsbehörde die Bewährungshilfe oder die Weisungen jeweils um ein bis fünf Jahre verlängern oder für diese Zeit neue Weisungen anordnen ( Art. 87 Abs. 3 Satz 1 StGB ). Bei einer bedingten Entlassung aus einer Freiheitsstrafe mit gleichzeitig angeordneter Verwahrung ordnet das Gericht auf Antrag der Vollzugsbehörde schon dann die Rückversetzung an, wenn aufgrund des Verhaltens des bedingt Entlassenen während der Probezeit ernsthaft zu erwarten ist, dass er weitere Straftaten im Sinne von Artikel 64 Absatz 1 begehen könnte (Art. 64 Abs. 3 Satz 3 in Verbindung mit Art. 64a Abs. 3 StGB ). Demgegenüber setzt die Rückversetzung in den Strafvollzug im Falle einer Freiheitsstrafe ohne gleichzeitig angeordnete Verwahrung voraus, dass der bedingt Entlassene während der Probezeit ein Verbrechen oder ein Vergehen begangen hat ( Art. 89 Abs. 1 StGB ), und ist BGE 142 IV 56 S. 62 selbst in diesen Fällen die Rückversetzung nicht zwingend (siehe Art. 89 Abs. 2 StGB ). Entzieht sich der bedingt Entlassene der Bewährungshilfe oder missachtet er die Weisungen, so sind in beiden Fällen Artikel 95 Absätze 3 bis 5 anwendbar (Art. 64 Abs. 3 Satz 3 in Verbindung mit Art. 64a Abs. 4 StGB ; Art. 89 Abs. 3 StGB ). Die bedingte Entlassung aus dem Vollzug einer Freiheitsstrafe bei gleichzeitig angeordneter Verwahrung setzt wie die Entlassung aus der Verwahrung voraus, dass zu erwarten ist, dass der Täter sich in der Freiheit bewährt ( Art. 64 Abs. 3, Art. 64a Abs. 1 StGB ). Es muss nach der Rechtsprechung eine hohe Wahrscheinlichkeit der Bewährung in Freiheit bestehen ( BGE 136 IV 165 E. 2.1.1; Urteil 6B_27/2011 vom 5. August 2011 E. 4.1.2). Das Gericht, das über die bedingte Entlassung aus dem Vollzug der einer Verwahrung vorausgehenden Freiheitsstrafe im Sinne von Art. 64 Abs. 3 StGB entscheidet, muss sich auf die in Art. 64b Abs. 2 StGB genannten Entscheidungsgrundlagen stützen, d.h. einen Bericht der Anstaltsleitung, eine unabhängige sachverständige Begutachtung im Sinne von Artikel 56 Absatz 4 und die Anhörung einer Kommission nach Artikel 62d Absatz 2 StGB. Dies ist zwar im Gesetz nicht ausdrücklich vorgesehen, da Art. 64 Abs. 3 Satz 3 StGB bloss auf Art. 64a und nicht auch auf Art. 64b StGB verweist. Es ist jedoch kein Grund dafür ersichtlich, die bedingte Entlassung aus der einer Verwahrung vorausgehenden Freiheitsstrafe insoweit anders zu behandeln als die bedingte Entlassung aus der Verwahrung ( BGE 136 IV 165 E. 2.2.2). Für die bedingte Entlassung aus dem Vollzug der Freiheitsstrafe ohne gleichzeitig angeordnete Verwahrung bedarf es dieser Entscheidungsgrundlagen nicht.</w:t>
      </w:r>
    </w:p>
    <w:p>
      <w:r>
        <w:rPr>
          <w:b/>
        </w:rPr>
        <w:t>E. 2.5</w:t>
      </w:r>
    </w:p>
    <w:p>
      <w:r>
        <w:t>Angesichts der dargestellten gesetzlichen Regelung ist davon auszugehen, dass die Anforderungen an die bedingte Entlassung aus dem Vollzug der Freiheitsstrafe bei gleichzeitig angeordneter Verwahrung formell und materiell höher sind als die Anforderungen an die bedingte Entlassung aus dem Vollzug der Freiheitsstrafe ohne gleichzeitig angeordnete Verwahrung. Zudem sind im erstgenannten Fall die Voraussetzungen für die Rückversetzung in den Strafvollzug weniger streng als im zweiten Fall. Diese Unterschiede lassen sich damit erklären, dass ein Täter, gegenüber welchem neben der Freiheitsstrafe eine Verwahrung gemäss Art. 64 Abs. 1 StGB angeordnet wird, im Sinne dieser Bestimmung gefährlich ist, indem von ihm ernsthaft zu erwarten ist, dass er weitere Taten dieser Art begeht. BGE 142 IV 56 S. 63</w:t>
      </w:r>
    </w:p>
    <w:p>
      <w:r>
        <w:rPr>
          <w:b/>
        </w:rPr>
        <w:t>E. 2.6</w:t>
      </w:r>
    </w:p>
    <w:p>
      <w:r>
        <w:t>In Anbetracht der aufgeführten Unterschiede ist es zum Schutz der öffentlichen Sicherheit geboten, neben der lebenslänglichen Freiheitsstrafe eine Verwahrung anzuordnen, wenn die Voraussetzungen von Art. 64 Abs. 1 StGB erfüllt sind. Da im Fall der Anordnung einer Verwahrung neben der Freiheitsstrafe die Anforderungen an die bedingte Entlassung aus dem Strafvollzug formell und materiell höher und die Anforderungen an die Rückversetzung in den Strafvollzug weniger hoch sind als bei einer Freiheitsstrafe ohne gleichzeitige Anordnung einer Verwahrung, werden im Falle der Anordnung einer Verwahrung einerseits das Risiko von Fehlprognosen beim Entscheid über die bedingte Entlassung aus dem Strafvollzug und andererseits das Risiko von Straftaten nach der bedingten Entlassung verringert.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